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D0" w:rsidRPr="002605D0" w:rsidRDefault="002605D0" w:rsidP="002605D0">
      <w:pPr>
        <w:spacing w:after="12" w:line="249" w:lineRule="auto"/>
        <w:ind w:left="545" w:right="54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5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к Постановлению </w:t>
      </w:r>
    </w:p>
    <w:p w:rsidR="002605D0" w:rsidRPr="002605D0" w:rsidRDefault="002605D0" w:rsidP="002605D0">
      <w:pPr>
        <w:spacing w:after="12" w:line="249" w:lineRule="auto"/>
        <w:ind w:left="545" w:right="54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5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города Сельцо </w:t>
      </w:r>
    </w:p>
    <w:p w:rsidR="002605D0" w:rsidRPr="002605D0" w:rsidRDefault="002605D0" w:rsidP="002605D0">
      <w:pPr>
        <w:spacing w:after="12" w:line="249" w:lineRule="auto"/>
        <w:ind w:left="545" w:right="54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5D0">
        <w:rPr>
          <w:rFonts w:ascii="Times New Roman" w:eastAsia="Times New Roman" w:hAnsi="Times New Roman" w:cs="Times New Roman"/>
          <w:color w:val="000000"/>
          <w:sz w:val="24"/>
          <w:szCs w:val="24"/>
        </w:rPr>
        <w:t>от 18.05.2022г. №213</w:t>
      </w:r>
    </w:p>
    <w:p w:rsidR="002605D0" w:rsidRDefault="002605D0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2605D0" w:rsidRDefault="002605D0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Default="00B36DA8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ПАСПОРТ </w:t>
      </w:r>
    </w:p>
    <w:p w:rsidR="00731981" w:rsidRDefault="00B36DA8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муниципальной программы</w:t>
      </w:r>
    </w:p>
    <w:p w:rsidR="00731981" w:rsidRDefault="00B36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«Формирование современной городской среды</w:t>
      </w:r>
    </w:p>
    <w:p w:rsidR="00731981" w:rsidRDefault="00B36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Сельцовского городского округа»</w:t>
      </w:r>
    </w:p>
    <w:p w:rsidR="00731981" w:rsidRDefault="0073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4"/>
        <w:gridCol w:w="5383"/>
      </w:tblGrid>
      <w:tr w:rsidR="00731981" w:rsidTr="00CE51E3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«Формирование современной городской среды Сельцовского городского округа»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Ответственный исполнитель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Администрация города Сельцо Брянской области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Соисполнители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Перечень подпрограмм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346C42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Перечень проектов 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реализуемых в рамках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Pr="009D0221" w:rsidRDefault="009D0221">
            <w:pPr>
              <w:spacing w:after="0" w:line="240" w:lineRule="auto"/>
              <w:jc w:val="both"/>
              <w:rPr>
                <w:color w:val="808080" w:themeColor="background1" w:themeShade="8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9D0221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Региональный </w:t>
            </w:r>
            <w:r w:rsidR="00B36DA8" w:rsidRPr="009D0221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проект «Формирование комфортной городской среды</w:t>
            </w:r>
            <w:r w:rsidRPr="009D0221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 (Брянская область)</w:t>
            </w:r>
            <w:r w:rsidR="00B36DA8" w:rsidRPr="009D0221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>»</w:t>
            </w:r>
          </w:p>
        </w:tc>
      </w:tr>
      <w:tr w:rsidR="00153D64" w:rsidRPr="00346C42" w:rsidTr="00FB544C">
        <w:trPr>
          <w:trHeight w:val="3230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53D64" w:rsidRPr="00153D64" w:rsidRDefault="00153D64">
            <w:pPr>
              <w:spacing w:after="0" w:line="240" w:lineRule="auto"/>
              <w:ind w:left="5" w:hanging="5"/>
              <w:jc w:val="both"/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Цели и задачи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53D64" w:rsidRPr="00153D64" w:rsidRDefault="00153D64" w:rsidP="00153D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/>
              <w:jc w:val="both"/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Повышение качества и комфорта городской среды на территории муниципального образования </w:t>
            </w:r>
            <w:proofErr w:type="spellStart"/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Сельцовский</w:t>
            </w:r>
            <w:proofErr w:type="spellEnd"/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городской округ </w:t>
            </w:r>
          </w:p>
          <w:p w:rsidR="00153D64" w:rsidRPr="00153D64" w:rsidRDefault="00153D64" w:rsidP="009D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</w:pPr>
            <w:r w:rsidRPr="00153D64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</w:rPr>
              <w:t xml:space="preserve">1.1 реализация регионального проекта «Формирование комфортной городской среды (Брянская область)» </w:t>
            </w:r>
          </w:p>
          <w:p w:rsidR="00153D64" w:rsidRPr="00153D64" w:rsidRDefault="00153D64" w:rsidP="009D0221">
            <w:pPr>
              <w:spacing w:after="0" w:line="240" w:lineRule="auto"/>
              <w:jc w:val="both"/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1.2 повышение уровня благоустройства дворовых территорий и территорий общего пользования.</w:t>
            </w:r>
          </w:p>
        </w:tc>
      </w:tr>
      <w:tr w:rsidR="00731981" w:rsidTr="00CE51E3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346C42" w:rsidP="00346C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Сроки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реализации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2" w:line="322" w:lineRule="auto"/>
              <w:ind w:left="5" w:right="96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2019-2024 годы</w:t>
            </w:r>
          </w:p>
        </w:tc>
      </w:tr>
      <w:tr w:rsidR="000475A8" w:rsidTr="00CE51E3">
        <w:trPr>
          <w:trHeight w:val="2735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Default="00346C42" w:rsidP="000475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Объем средств 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реализацию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Pr="004619AD" w:rsidRDefault="000475A8" w:rsidP="000475A8">
            <w:pPr>
              <w:tabs>
                <w:tab w:val="left" w:pos="1846"/>
                <w:tab w:val="left" w:pos="4118"/>
                <w:tab w:val="left" w:pos="4260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0475A8" w:rsidRPr="004619AD" w:rsidRDefault="004619AD" w:rsidP="000475A8">
            <w:pPr>
              <w:tabs>
                <w:tab w:val="left" w:pos="1846"/>
                <w:tab w:val="left" w:pos="4118"/>
                <w:tab w:val="left" w:pos="4260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>35 540 896,3</w:t>
            </w:r>
            <w:r w:rsidR="000475A8"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>2 рублей, в том числе:</w:t>
            </w:r>
          </w:p>
          <w:p w:rsidR="000475A8" w:rsidRPr="004619AD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 xml:space="preserve">2019 год – 6 736 701,70 рубль; </w:t>
            </w:r>
          </w:p>
          <w:p w:rsidR="000475A8" w:rsidRPr="004619AD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 xml:space="preserve">2020 год – 6 364 154,70 рубля; </w:t>
            </w:r>
          </w:p>
          <w:p w:rsidR="000475A8" w:rsidRPr="004619AD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>2021 год – 5 868 125,91 рублей;</w:t>
            </w:r>
          </w:p>
          <w:p w:rsidR="000475A8" w:rsidRPr="004619AD" w:rsidRDefault="004619AD" w:rsidP="000475A8">
            <w:pPr>
              <w:spacing w:after="0" w:line="240" w:lineRule="auto"/>
              <w:ind w:left="708"/>
              <w:jc w:val="both"/>
              <w:rPr>
                <w:color w:val="0070C0"/>
              </w:rPr>
            </w:pPr>
            <w:r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>2022 год – 5 413 787,56 рублей</w:t>
            </w:r>
            <w:r w:rsidR="000475A8" w:rsidRPr="004619AD">
              <w:rPr>
                <w:rFonts w:ascii="Times New Roman" w:eastAsia="Times New Roman" w:hAnsi="Times New Roman" w:cs="Times New Roman"/>
                <w:color w:val="0070C0"/>
                <w:sz w:val="28"/>
              </w:rPr>
              <w:t>;</w:t>
            </w:r>
          </w:p>
          <w:p w:rsidR="000475A8" w:rsidRPr="004619AD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619A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2023 год – 5 285 428,49 рублей;</w:t>
            </w:r>
          </w:p>
          <w:p w:rsidR="000475A8" w:rsidRPr="00C76A52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highlight w:val="green"/>
              </w:rPr>
            </w:pPr>
            <w:r w:rsidRPr="004619A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2024 год – 5 872 697,96 рублей.</w:t>
            </w:r>
          </w:p>
        </w:tc>
      </w:tr>
      <w:tr w:rsidR="000475A8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Default="00153D64" w:rsidP="000475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Объем средств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 реализацию проектов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>, реализуемых в рамках 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color w:val="0070C0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общий объем средств, предусмотренных н</w:t>
            </w:r>
            <w:r w:rsidR="00153D64"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а реализацию проектов</w:t>
            </w: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 xml:space="preserve">, включенных в состав муниципальной программы, – </w:t>
            </w:r>
          </w:p>
          <w:p w:rsidR="000475A8" w:rsidRPr="005B665C" w:rsidRDefault="005B665C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34 867 953,75  рубля</w:t>
            </w:r>
            <w:r w:rsidR="000475A8"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, в том числе:</w:t>
            </w:r>
          </w:p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lastRenderedPageBreak/>
              <w:t xml:space="preserve">2019 год – 6 482 301,70 рубль; </w:t>
            </w:r>
          </w:p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 xml:space="preserve">2020 год – 6 154 154,70 рубля; </w:t>
            </w:r>
          </w:p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2021 год – 5 759 583,34 рубля;</w:t>
            </w:r>
          </w:p>
          <w:p w:rsidR="000475A8" w:rsidRPr="005B665C" w:rsidRDefault="004619AD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2022 год – 5 313 787,56 рублей</w:t>
            </w:r>
            <w:r w:rsidR="000475A8"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;</w:t>
            </w:r>
          </w:p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2023 год -  5 285 428,49 рублей;</w:t>
            </w:r>
          </w:p>
          <w:p w:rsidR="000475A8" w:rsidRPr="005B665C" w:rsidRDefault="000475A8" w:rsidP="000475A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</w:rPr>
            </w:pPr>
            <w:r w:rsidRPr="005B665C">
              <w:rPr>
                <w:rFonts w:ascii="Times New Roman" w:eastAsia="Times New Roman" w:hAnsi="Times New Roman" w:cs="Times New Roman"/>
                <w:color w:val="0070C0"/>
                <w:sz w:val="28"/>
              </w:rPr>
              <w:t>2024 год – 5 872 697,96 рублей.</w:t>
            </w:r>
          </w:p>
          <w:p w:rsidR="000475A8" w:rsidRPr="00C76A52" w:rsidRDefault="000475A8" w:rsidP="000475A8">
            <w:pPr>
              <w:tabs>
                <w:tab w:val="left" w:pos="0"/>
                <w:tab w:val="left" w:pos="709"/>
                <w:tab w:val="left" w:pos="2694"/>
                <w:tab w:val="left" w:pos="2835"/>
              </w:tabs>
              <w:spacing w:after="2" w:line="249" w:lineRule="auto"/>
              <w:ind w:left="-108" w:firstLine="108"/>
              <w:rPr>
                <w:color w:val="0070C0"/>
                <w:highlight w:val="green"/>
              </w:rPr>
            </w:pP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153D64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Показатели (индикаторы)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Показатели результативности и эффективности муниципальной программы, а также конечные результаты реализации муниципальной программы  приведены в приложении 1 к муниципальной программе</w:t>
            </w:r>
          </w:p>
          <w:p w:rsidR="00731981" w:rsidRDefault="00731981">
            <w:pPr>
              <w:spacing w:after="0" w:line="240" w:lineRule="auto"/>
              <w:jc w:val="both"/>
            </w:pPr>
          </w:p>
        </w:tc>
      </w:tr>
    </w:tbl>
    <w:p w:rsidR="00731981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731981" w:rsidRDefault="00731981">
      <w:pPr>
        <w:spacing w:after="2" w:line="249" w:lineRule="auto"/>
        <w:ind w:right="9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96542F" w:rsidRDefault="00B36DA8">
      <w:pPr>
        <w:spacing w:after="2" w:line="249" w:lineRule="auto"/>
        <w:ind w:left="2203" w:right="910" w:hanging="5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6542F">
        <w:rPr>
          <w:rFonts w:ascii="Times New Roman" w:eastAsia="Times New Roman" w:hAnsi="Times New Roman" w:cs="Times New Roman"/>
          <w:color w:val="000000"/>
          <w:sz w:val="28"/>
        </w:rPr>
        <w:t>1. Характеристика текущего состояния сферы реализации программы</w:t>
      </w:r>
    </w:p>
    <w:p w:rsidR="00731981" w:rsidRPr="0096542F" w:rsidRDefault="00731981">
      <w:pPr>
        <w:spacing w:after="2" w:line="249" w:lineRule="auto"/>
        <w:ind w:left="2203" w:right="910" w:hanging="5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Одним из основных стратегических направлений развития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Сельцовский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городской округ является обеспечение устойчивого развития города,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инфраструктурой: модернизация и развитие инженерной инфраструктуры населенного пункта,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среды для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маломобильных групп населения.</w:t>
      </w: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развития. </w:t>
      </w: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Сегодня гражданам важно, как обеспечено освещение улиц, обустроены тротуары, скверы, парки, набережные, центральные улицы, дворовые территории и многое другое. </w:t>
      </w: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В настоящее время благоустройство дворовых и общественных территорий муниципального образования Сельцовского городского округа не соответствует современным требованиям. 40 процентов общественных территорий муниципального образования неблагоустроенны. Около 43 процентов дворовых территорий не обеспечены минимальным перечнем элементов благоустройства в совокупности (отсутствуют освещение, скамейки, урны, асфальтированные дворовые проезды).</w:t>
      </w: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Успешная реализация в муниципального проекта "Формирование комфортной городской среды" позволит повысить уровень благоустройства 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дворовых территорий, мест массового отдыха населения (городских парков, скверов и прочих мест массового пребывания людей). </w:t>
      </w:r>
    </w:p>
    <w:p w:rsidR="00731981" w:rsidRPr="00C76A52" w:rsidRDefault="00731981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716AF" w:rsidRPr="00C76A52" w:rsidRDefault="007716AF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2. Цели и задачи программы</w:t>
      </w:r>
    </w:p>
    <w:p w:rsidR="00731981" w:rsidRPr="00C76A52" w:rsidRDefault="00731981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Основная цель программы – повышение качества и комфорта городской среды на территории Сельцовского городского округа. </w:t>
      </w:r>
    </w:p>
    <w:p w:rsidR="00731981" w:rsidRPr="00C76A52" w:rsidRDefault="00B36DA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Для достижения поставленной цели в ходе реализации программы необходимо решить следующие задачи:</w:t>
      </w:r>
    </w:p>
    <w:p w:rsidR="00731981" w:rsidRPr="00C76A52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</w:rPr>
      </w:pPr>
      <w:r w:rsidRPr="00C76A52">
        <w:rPr>
          <w:rFonts w:ascii="Times New Roman" w:eastAsia="Times New Roman" w:hAnsi="Times New Roman" w:cs="Times New Roman"/>
          <w:color w:val="808080" w:themeColor="background1" w:themeShade="80"/>
          <w:sz w:val="28"/>
        </w:rPr>
        <w:t>-</w:t>
      </w:r>
      <w:r w:rsidR="009D0221" w:rsidRPr="00C76A52">
        <w:rPr>
          <w:color w:val="808080" w:themeColor="background1" w:themeShade="80"/>
        </w:rPr>
        <w:t xml:space="preserve"> </w:t>
      </w:r>
      <w:r w:rsidR="009D0221" w:rsidRPr="00C76A52">
        <w:rPr>
          <w:rFonts w:ascii="Times New Roman" w:eastAsia="Times New Roman" w:hAnsi="Times New Roman" w:cs="Times New Roman"/>
          <w:color w:val="808080" w:themeColor="background1" w:themeShade="80"/>
          <w:sz w:val="28"/>
        </w:rPr>
        <w:t xml:space="preserve">реализация регионального проекта «Формирование комфортной городской среды (Брянская область)» </w:t>
      </w:r>
    </w:p>
    <w:p w:rsidR="00731981" w:rsidRPr="00C76A52" w:rsidRDefault="00B36DA8">
      <w:pPr>
        <w:spacing w:after="12" w:line="249" w:lineRule="auto"/>
        <w:ind w:right="55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- повышение уровня благоустройства дворовых территорий </w:t>
      </w:r>
      <w:r w:rsidR="008C08AD"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и территорий общего </w:t>
      </w:r>
      <w:r w:rsidR="009F231E">
        <w:rPr>
          <w:rFonts w:ascii="Times New Roman" w:eastAsia="Times New Roman" w:hAnsi="Times New Roman" w:cs="Times New Roman"/>
          <w:color w:val="000000"/>
          <w:sz w:val="28"/>
        </w:rPr>
        <w:t>пользования.</w:t>
      </w:r>
    </w:p>
    <w:p w:rsidR="008C08AD" w:rsidRPr="00C76A52" w:rsidRDefault="009F231E" w:rsidP="008C08AD">
      <w:pPr>
        <w:spacing w:after="12" w:line="249" w:lineRule="auto"/>
        <w:ind w:right="550" w:hanging="10"/>
        <w:jc w:val="both"/>
        <w:rPr>
          <w:rFonts w:ascii="Times New Roman" w:eastAsia="Times New Roman" w:hAnsi="Times New Roman" w:cs="Times New Roman"/>
          <w:color w:val="00B0F0"/>
          <w:sz w:val="28"/>
        </w:rPr>
      </w:pPr>
      <w:r>
        <w:rPr>
          <w:rFonts w:ascii="Times New Roman" w:eastAsia="Times New Roman" w:hAnsi="Times New Roman" w:cs="Times New Roman"/>
          <w:color w:val="00B0F0"/>
          <w:sz w:val="28"/>
        </w:rPr>
        <w:t>Б</w:t>
      </w:r>
      <w:r w:rsidR="008C08AD" w:rsidRPr="00C76A52">
        <w:rPr>
          <w:rFonts w:ascii="Times New Roman" w:eastAsia="Times New Roman" w:hAnsi="Times New Roman" w:cs="Times New Roman"/>
          <w:color w:val="00B0F0"/>
          <w:sz w:val="28"/>
        </w:rPr>
        <w:t xml:space="preserve">лагоустройство общественных территорий  на территории муниципального образования  </w:t>
      </w:r>
      <w:proofErr w:type="spellStart"/>
      <w:r w:rsidR="008C08AD" w:rsidRPr="00C76A52">
        <w:rPr>
          <w:rFonts w:ascii="Times New Roman" w:eastAsia="Times New Roman" w:hAnsi="Times New Roman" w:cs="Times New Roman"/>
          <w:color w:val="00B0F0"/>
          <w:sz w:val="28"/>
        </w:rPr>
        <w:t>Сельцовский</w:t>
      </w:r>
      <w:proofErr w:type="spellEnd"/>
      <w:r w:rsidR="008C08AD" w:rsidRPr="00C76A52">
        <w:rPr>
          <w:rFonts w:ascii="Times New Roman" w:eastAsia="Times New Roman" w:hAnsi="Times New Roman" w:cs="Times New Roman"/>
          <w:color w:val="00B0F0"/>
          <w:sz w:val="28"/>
        </w:rPr>
        <w:t xml:space="preserve"> городской округ Брянской области  осуществляется также в рамках государственной программы Брянской области «Региональная  политика Брянской области», утвержденной постановлением Правительства Брянской области от 27.12.2018г. №733-п.</w:t>
      </w:r>
    </w:p>
    <w:p w:rsidR="008C08AD" w:rsidRPr="00C76A52" w:rsidRDefault="008C08AD" w:rsidP="008C08AD">
      <w:pPr>
        <w:spacing w:after="12" w:line="249" w:lineRule="auto"/>
        <w:ind w:right="55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3. Прогноз конечных результатов реализации программы</w:t>
      </w:r>
    </w:p>
    <w:p w:rsidR="00731981" w:rsidRPr="00C76A52" w:rsidRDefault="00731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Основными ожидаемыми результатами реализации программы, отражающими социальные и экономические выгоды муниципального образования Сельцовского городского округа, должны стать: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увеличение доли благоустроенных дворовых территорий;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увеличение доли благоустроенных общественных территорий.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Реализация муниципальной программы позволит улучшить ряд показателей социально-экономического развития: 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экономические (повышение налоговых поступлений в местный бюджет после благоустройства территорий, развитие туризма);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демографические (повышение привлекательности мест жительства для молодых семей);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социальные (увеличение пешеходных потоков для жителей, рост публичных пространств, приспособленных для различных творческих проявлений и самореализации горожан, прогулок, занятий спортом, общения с детьми и друг другом, обеспечение доступности городской среды для маломобильных групп населения и т.д.).</w:t>
      </w:r>
    </w:p>
    <w:p w:rsidR="00731981" w:rsidRPr="00C76A52" w:rsidRDefault="00731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965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. Перечень показателей (индикаторов) программы</w:t>
      </w:r>
    </w:p>
    <w:p w:rsidR="00731981" w:rsidRPr="00C76A52" w:rsidRDefault="007319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целей, решения задач и выполнения основных мероприятий программы.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lastRenderedPageBreak/>
        <w:t>Полный перечень показателей (индикаторов) программы с расшифровкой плановых значений по годам и этапам ее реализации представлен в приложении 1 к программе.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Перечень показателей (индикаторов) программы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сфере жилищно-коммунального обслуживания населения области.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Значения показателей (индикаторов) программы определяются на основании данных, полученных из источников, указанных в приложении 1 к программе.</w:t>
      </w:r>
    </w:p>
    <w:p w:rsidR="00731981" w:rsidRPr="00C76A52" w:rsidRDefault="00965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gramStart"/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Показатель "Доля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территорий" рассчитывается муниципальным образованием по итогам года предоставления субсидии как отношение количества реализованных проектов благоустройства дворовых территорий к общему количеству</w:t>
      </w:r>
      <w:proofErr w:type="gramEnd"/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реализованных в течение планового года проектов благоустройства дворовых территорий, на основании фактических данных.</w:t>
      </w:r>
    </w:p>
    <w:p w:rsidR="00731981" w:rsidRPr="00C76A52" w:rsidRDefault="00965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.2. Показатель "Доля реализованных комплексных проектов благоустройства общественных </w:t>
      </w:r>
      <w:proofErr w:type="gramStart"/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территорий</w:t>
      </w:r>
      <w:proofErr w:type="gramEnd"/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в общем количестве реализованных в течение планового года проектов благоустройства общественных территорий" рассчитывается муниципальным образованием  по итогам года предоставления субсидии как отношение количества реализованных комплексных проектов благоустройства общественных территорий к общему количеству реализованных в течение планового года проектов благоустройства общественных территорий, на основании фактических данных.</w:t>
      </w:r>
    </w:p>
    <w:p w:rsidR="00731981" w:rsidRPr="00C76A52" w:rsidRDefault="00965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.3. Показатель 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 рассчитывается муниципальным образованием по итогам года предоставления субсидии как отношение количества дворовых территорий, благоустройство которых выполнено при участии граждан, организаций в соответствующих мероприятиях к общему количеству реализованных в течение планового года проектов благоустройства дворовых территорий, на основании фактических данных.</w:t>
      </w:r>
    </w:p>
    <w:p w:rsidR="00731981" w:rsidRPr="00C76A52" w:rsidRDefault="00731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475A8" w:rsidRPr="00C76A52" w:rsidRDefault="000475A8" w:rsidP="0089475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31981" w:rsidRPr="00C76A52" w:rsidRDefault="00731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731981" w:rsidRPr="00C76A52" w:rsidRDefault="00965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. Анализ рисков реализации программы и описание мер управления рисками в целях минимизации их влияния на достижение целей программы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1"/>
        <w:gridCol w:w="3594"/>
        <w:gridCol w:w="5055"/>
      </w:tblGrid>
      <w:tr w:rsidR="00731981" w:rsidRPr="00C76A52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31981" w:rsidRPr="00C76A52" w:rsidRDefault="00B36DA8">
            <w:pPr>
              <w:spacing w:before="120" w:after="0" w:line="240" w:lineRule="auto"/>
              <w:jc w:val="center"/>
            </w:pPr>
            <w:r w:rsidRPr="00C76A52">
              <w:rPr>
                <w:rFonts w:ascii="Segoe UI Symbol" w:eastAsia="Segoe UI Symbol" w:hAnsi="Segoe UI Symbol" w:cs="Segoe UI Symbol"/>
                <w:color w:val="000000"/>
                <w:sz w:val="28"/>
              </w:rPr>
              <w:t>№</w:t>
            </w: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пп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31981" w:rsidRPr="00C76A52" w:rsidRDefault="00B36DA8">
            <w:pPr>
              <w:spacing w:before="120" w:after="0" w:line="240" w:lineRule="auto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риска/ возможности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31981" w:rsidRPr="00C76A52" w:rsidRDefault="00B36D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Мероприятия по предупреждению риска/</w:t>
            </w:r>
          </w:p>
          <w:p w:rsidR="00731981" w:rsidRPr="00C76A52" w:rsidRDefault="00B36DA8">
            <w:pPr>
              <w:spacing w:after="0" w:line="240" w:lineRule="auto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реализации возможности</w:t>
            </w:r>
          </w:p>
        </w:tc>
      </w:tr>
      <w:tr w:rsidR="00731981" w:rsidRPr="00C76A52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 w:right="180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Ключевые риски</w:t>
            </w:r>
          </w:p>
        </w:tc>
      </w:tr>
      <w:tr w:rsidR="00731981" w:rsidRPr="00C76A52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Отсутствие средств федерального, муниципального бюджетов для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софинансирования</w:t>
            </w:r>
            <w:proofErr w:type="spellEnd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проектов по благоустройству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проведение информационно-разъяснительной работы в средствах массовой информации в целях стимулирования активности граждан, организаций и бизнеса в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софинансировании</w:t>
            </w:r>
            <w:proofErr w:type="spellEnd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проектов по благоустройству</w:t>
            </w:r>
          </w:p>
        </w:tc>
      </w:tr>
      <w:tr w:rsidR="00731981" w:rsidRPr="00C76A52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Отсутствие заявок, непредставление проектов по благоустройству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after="0" w:line="240" w:lineRule="auto"/>
              <w:ind w:left="45" w:right="18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активная работа и вовлечение должностных лиц (руководителей органов местного самоуправления), граждан и организаций, которые могут стать инициаторами проектов по благоустройству;</w:t>
            </w:r>
          </w:p>
          <w:p w:rsidR="00731981" w:rsidRPr="00C76A52" w:rsidRDefault="00B36DA8">
            <w:pPr>
              <w:spacing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проведение информационно-разъяснительной работы в средствах массовой информации в целях стимулирования активности граждан и бизнеса в инициации проектов по благоустройству</w:t>
            </w:r>
          </w:p>
        </w:tc>
      </w:tr>
      <w:tr w:rsidR="00731981" w:rsidRPr="00C76A52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Реализация в неполном объеме муниципальной программы по формированию современной городской среды</w:t>
            </w:r>
          </w:p>
          <w:p w:rsidR="00731981" w:rsidRPr="00C76A52" w:rsidRDefault="00731981">
            <w:pPr>
              <w:spacing w:before="120" w:after="0" w:line="240" w:lineRule="auto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981" w:rsidRPr="00C76A52" w:rsidRDefault="00B36DA8">
            <w:pPr>
              <w:spacing w:before="120" w:after="0" w:line="240" w:lineRule="auto"/>
              <w:ind w:left="45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формирование четкого графика реализации конкретных мероприятий в рамках муниципальной программы по формированию современной городской среды с указанием сроков исполнения мероприятий и ответственных должностных лиц за реализацию мероприятий</w:t>
            </w:r>
          </w:p>
        </w:tc>
      </w:tr>
    </w:tbl>
    <w:p w:rsidR="00731981" w:rsidRPr="00C76A52" w:rsidRDefault="007319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965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B36DA8" w:rsidRPr="00C76A52">
        <w:rPr>
          <w:rFonts w:ascii="Times New Roman" w:eastAsia="Times New Roman" w:hAnsi="Times New Roman" w:cs="Times New Roman"/>
          <w:color w:val="000000"/>
          <w:sz w:val="28"/>
        </w:rPr>
        <w:t>. Механизм реализации программы</w:t>
      </w:r>
    </w:p>
    <w:p w:rsidR="00731981" w:rsidRPr="00C76A52" w:rsidRDefault="007319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Для успешной реализации программы формируется механизм управления, включающий: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закрепление ответственности за выполнением мероприятий программы за администрацией города Сельцо Брянской области;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порядок инвентаризации общественных территорий, дворовых территорий многоквартирных домов и порядок инвентаризации уровня благоустройства индивидуальных жилых домов и земельных участков, представленный в приложении 3 к программе;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предоставление и распределение субсидий из областного бюджета бюджету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Сельцовский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городской округ на поддержку  муниципальной программы формирования современной городской среды, представленной в приложении 4 к программе.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В рамках </w:t>
      </w:r>
      <w:r w:rsidR="00963811" w:rsidRPr="00C76A52">
        <w:rPr>
          <w:rFonts w:ascii="Times New Roman" w:eastAsia="Times New Roman" w:hAnsi="Times New Roman" w:cs="Times New Roman"/>
          <w:sz w:val="28"/>
        </w:rPr>
        <w:t xml:space="preserve">реализации </w:t>
      </w:r>
      <w:r w:rsidR="00963811" w:rsidRPr="00C76A52">
        <w:rPr>
          <w:rFonts w:ascii="Times New Roman" w:eastAsia="Times New Roman" w:hAnsi="Times New Roman" w:cs="Times New Roman"/>
          <w:color w:val="808080" w:themeColor="background1" w:themeShade="80"/>
          <w:sz w:val="28"/>
        </w:rPr>
        <w:t>регионального проекта «Формирование комфортной городской среды (Брянская область)»</w:t>
      </w:r>
      <w:r w:rsidR="00963811" w:rsidRPr="00C76A52">
        <w:rPr>
          <w:rFonts w:ascii="Times New Roman" w:eastAsia="Times New Roman" w:hAnsi="Times New Roman" w:cs="Times New Roman"/>
          <w:sz w:val="28"/>
        </w:rPr>
        <w:t xml:space="preserve"> </w:t>
      </w:r>
      <w:r w:rsidRPr="00C76A52">
        <w:rPr>
          <w:rFonts w:ascii="Times New Roman" w:eastAsia="Times New Roman" w:hAnsi="Times New Roman" w:cs="Times New Roman"/>
          <w:sz w:val="28"/>
        </w:rPr>
        <w:t>разрабатывается муниципальная программа  формирование современной городской среды.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lastRenderedPageBreak/>
        <w:t>Муниципальная программа должна предусматривать: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адресный перечень всех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Физическое состояние дворовой территории и необходимость ее благоустройства определяется по результатам инвентаризации дворовой территории, проведенной согласно порядку проведения инвентаризации;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адресный перечень всех общественных территорий, нуждающихся в благоустройстве (с учетом их физического состояния) и подлежащих благоустройству в указанный период. Физическое состояние общественной территории и необходимость ее благоустройства определяется по результатам инвентаризации общественной территории, проведенной согласно порядку проведения инвентаризации;</w:t>
      </w:r>
    </w:p>
    <w:p w:rsidR="00731981" w:rsidRPr="00C76A52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самоуправления;</w:t>
      </w:r>
    </w:p>
    <w:p w:rsidR="00731981" w:rsidRPr="00C76A52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домов, собственниками (землепользователями)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благоустройства;</w:t>
      </w:r>
    </w:p>
    <w:p w:rsidR="00731981" w:rsidRPr="00C76A52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</w:t>
      </w:r>
      <w:r w:rsidRPr="00C76A52">
        <w:rPr>
          <w:rFonts w:ascii="Times New Roman" w:eastAsia="Times New Roman" w:hAnsi="Times New Roman" w:cs="Times New Roman"/>
          <w:sz w:val="28"/>
        </w:rPr>
        <w:tab/>
        <w:t>иные мероприятия по благоустройству, определенные органом местного самоуправления;</w:t>
      </w:r>
    </w:p>
    <w:p w:rsidR="00731981" w:rsidRPr="00C76A52" w:rsidRDefault="00B3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>информацию о форме и доле финансового и (или) трудового участия заинтересованных лиц в выполнении дополнительного перечня работ по благоустройству дворовых территорий, с учетом предложений заинтересованных лиц, предусматривающих их финансовое и (или) трудовое участие в выполнении соответствующих работ;</w:t>
      </w:r>
    </w:p>
    <w:p w:rsidR="00731981" w:rsidRPr="00C76A52" w:rsidRDefault="00B36DA8">
      <w:pPr>
        <w:spacing w:after="0" w:line="240" w:lineRule="auto"/>
        <w:jc w:val="both"/>
        <w:rPr>
          <w:rFonts w:ascii="Calibri" w:eastAsia="Calibri" w:hAnsi="Calibri" w:cs="Calibri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 xml:space="preserve">порядок аккумулирования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расходованием.        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Внесение изменений в программу осуществляется по инициативе ответственного исполнителя программы либо во исполнение поручений Губернатора области и Правительства области, в том числе с учетом результатов оценки эффективности реализации программы.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Ответственный исполнитель программы размещает на своем официальном сайте в информационно-телекоммуникационной сети "Интернет" информацию о программе, ходе ее реализации, достижении значений показателей (индикаторов) программы, степени выполнения мероприятий программы.</w:t>
      </w:r>
    </w:p>
    <w:p w:rsidR="00731981" w:rsidRPr="00C76A52" w:rsidRDefault="00B3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Решение об изменении ресурсного обеспечения в ходе реализации подпрограмм программы может быть принято в связи с сокращением финансирования вследствие кризисных явлений в экономике, по результатам оценки эффективности проводимых мероприятий подпрограмм, программы на основе анализа показателей (индикаторов) подпрограмм, программы, а также в случае изменения нормативных правовых актов Российской </w:t>
      </w:r>
      <w:r w:rsidRPr="00C76A52">
        <w:rPr>
          <w:rFonts w:ascii="Times New Roman" w:eastAsia="Times New Roman" w:hAnsi="Times New Roman" w:cs="Times New Roman"/>
          <w:sz w:val="28"/>
        </w:rPr>
        <w:t>Федерации и  Брянской области  в сфере реализации программы.</w:t>
      </w:r>
      <w:proofErr w:type="gramEnd"/>
    </w:p>
    <w:p w:rsidR="008173A7" w:rsidRPr="00C76A52" w:rsidRDefault="002C2A27" w:rsidP="008173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Ответственный исполнитель программы имеет право</w:t>
      </w:r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</w:t>
      </w:r>
      <w:bookmarkStart w:id="0" w:name="_GoBack"/>
      <w:bookmarkEnd w:id="0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ых превышает 70 процентов, </w:t>
      </w:r>
    </w:p>
    <w:p w:rsidR="00126F2A" w:rsidRPr="00C76A52" w:rsidRDefault="00126F2A" w:rsidP="008173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а также территории, которые планируются к изъятию для муниципальных или государственных нужд в соответствии с генеральным п</w:t>
      </w:r>
      <w:r w:rsidR="002C2A27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ланом </w:t>
      </w: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126F2A" w:rsidRPr="00C76A52" w:rsidRDefault="002C2A27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proofErr w:type="gramStart"/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Ответственный исполнитель программы имеет право </w:t>
      </w:r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</w:t>
      </w:r>
      <w:proofErr w:type="gramEnd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126F2A" w:rsidRPr="00C76A52" w:rsidRDefault="008173A7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Ответственный исполнитель программы имеет право  предусматривать: </w:t>
      </w:r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работы</w:t>
      </w:r>
      <w:proofErr w:type="gramEnd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по благоустройству дворовых территорий которых </w:t>
      </w:r>
      <w:proofErr w:type="spellStart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софинансируются</w:t>
      </w:r>
      <w:proofErr w:type="spellEnd"/>
      <w:r w:rsidR="00126F2A"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из бюджета субъекта Российской Федерации;</w:t>
      </w:r>
    </w:p>
    <w:p w:rsidR="00126F2A" w:rsidRPr="00C76A52" w:rsidRDefault="00126F2A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 –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субсидии (для заключения соглашений на выполнение работ по благоустройству дворовых территорий), за исключением:</w:t>
      </w:r>
    </w:p>
    <w:p w:rsidR="00126F2A" w:rsidRPr="00C76A52" w:rsidRDefault="00126F2A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</w:t>
      </w: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lastRenderedPageBreak/>
        <w:t>заключения таких соглашений продлевается на срок указанного обжалования;</w:t>
      </w:r>
    </w:p>
    <w:p w:rsidR="00126F2A" w:rsidRPr="00C76A52" w:rsidRDefault="00126F2A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126F2A" w:rsidRPr="00C76A52" w:rsidRDefault="00126F2A" w:rsidP="00126F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цифровизации</w:t>
      </w:r>
      <w:proofErr w:type="spellEnd"/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 xml:space="preserve"> городского хозяйства, включенных </w:t>
      </w:r>
    </w:p>
    <w:p w:rsidR="00126F2A" w:rsidRPr="00333F81" w:rsidRDefault="00126F2A" w:rsidP="002C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76923C" w:themeColor="accent3" w:themeShade="BF"/>
          <w:sz w:val="28"/>
        </w:rPr>
      </w:pPr>
      <w:r w:rsidRPr="00C76A52">
        <w:rPr>
          <w:rFonts w:ascii="Times New Roman" w:eastAsia="Times New Roman" w:hAnsi="Times New Roman" w:cs="Times New Roman"/>
          <w:color w:val="76923C" w:themeColor="accent3" w:themeShade="BF"/>
          <w:sz w:val="28"/>
        </w:rPr>
        <w:t>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731981" w:rsidRDefault="00731981" w:rsidP="00963811">
      <w:pPr>
        <w:spacing w:after="2" w:line="249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731981" w:rsidSect="00982D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D0193"/>
    <w:multiLevelType w:val="hybridMultilevel"/>
    <w:tmpl w:val="1CC87502"/>
    <w:lvl w:ilvl="0" w:tplc="F38E32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1981"/>
    <w:rsid w:val="000475A8"/>
    <w:rsid w:val="00126F2A"/>
    <w:rsid w:val="00153D64"/>
    <w:rsid w:val="002134FF"/>
    <w:rsid w:val="002605D0"/>
    <w:rsid w:val="002A3272"/>
    <w:rsid w:val="002C2A27"/>
    <w:rsid w:val="002E47D6"/>
    <w:rsid w:val="00333F81"/>
    <w:rsid w:val="00346C42"/>
    <w:rsid w:val="003A28EB"/>
    <w:rsid w:val="003D2E14"/>
    <w:rsid w:val="004147E5"/>
    <w:rsid w:val="004619AD"/>
    <w:rsid w:val="004F48FB"/>
    <w:rsid w:val="005B161C"/>
    <w:rsid w:val="005B637C"/>
    <w:rsid w:val="005B665C"/>
    <w:rsid w:val="00621B04"/>
    <w:rsid w:val="00646174"/>
    <w:rsid w:val="00731981"/>
    <w:rsid w:val="00733683"/>
    <w:rsid w:val="007716AF"/>
    <w:rsid w:val="008173A7"/>
    <w:rsid w:val="0089475A"/>
    <w:rsid w:val="008A0BF7"/>
    <w:rsid w:val="008C08AD"/>
    <w:rsid w:val="00963811"/>
    <w:rsid w:val="00964895"/>
    <w:rsid w:val="0096542F"/>
    <w:rsid w:val="00982D04"/>
    <w:rsid w:val="009C2B6A"/>
    <w:rsid w:val="009D0221"/>
    <w:rsid w:val="009E2322"/>
    <w:rsid w:val="009F231E"/>
    <w:rsid w:val="00B36DA8"/>
    <w:rsid w:val="00B411E0"/>
    <w:rsid w:val="00B61D08"/>
    <w:rsid w:val="00C2196A"/>
    <w:rsid w:val="00C76A52"/>
    <w:rsid w:val="00C8435D"/>
    <w:rsid w:val="00CE51E3"/>
    <w:rsid w:val="00D97FA8"/>
    <w:rsid w:val="00DD6F07"/>
    <w:rsid w:val="00EB65F1"/>
    <w:rsid w:val="00ED14C3"/>
    <w:rsid w:val="00ED4DDF"/>
    <w:rsid w:val="00F0702C"/>
    <w:rsid w:val="00FF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48F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46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B5EE-D1CA-4DC6-9CE7-80C66EAC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Econ-0</cp:lastModifiedBy>
  <cp:revision>39</cp:revision>
  <cp:lastPrinted>2022-05-26T06:08:00Z</cp:lastPrinted>
  <dcterms:created xsi:type="dcterms:W3CDTF">2019-12-23T09:18:00Z</dcterms:created>
  <dcterms:modified xsi:type="dcterms:W3CDTF">2022-05-26T06:15:00Z</dcterms:modified>
</cp:coreProperties>
</file>